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99" w:rsidRDefault="007E2D99" w:rsidP="007E2D99">
      <w:pPr>
        <w:spacing w:after="0" w:line="256" w:lineRule="auto"/>
        <w:jc w:val="center"/>
        <w:rPr>
          <w:rFonts w:ascii="Gill Sans MT" w:hAnsi="Gill Sans MT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E4C3AC3" wp14:editId="0D77225C">
            <wp:simplePos x="0" y="0"/>
            <wp:positionH relativeFrom="column">
              <wp:posOffset>9048903</wp:posOffset>
            </wp:positionH>
            <wp:positionV relativeFrom="paragraph">
              <wp:posOffset>-252095</wp:posOffset>
            </wp:positionV>
            <wp:extent cx="701040" cy="7073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99" w:rsidRDefault="007E2D99" w:rsidP="007E2D99">
      <w:pPr>
        <w:spacing w:after="0" w:line="256" w:lineRule="auto"/>
        <w:jc w:val="center"/>
        <w:rPr>
          <w:rFonts w:ascii="Gill Sans MT" w:hAnsi="Gill Sans MT"/>
          <w:sz w:val="26"/>
          <w:szCs w:val="26"/>
        </w:rPr>
      </w:pPr>
    </w:p>
    <w:p w:rsidR="007E2D99" w:rsidRDefault="007E2D99" w:rsidP="007E2D99">
      <w:pPr>
        <w:spacing w:after="0" w:line="256" w:lineRule="auto"/>
        <w:rPr>
          <w:rFonts w:ascii="Gill Sans MT" w:hAnsi="Gill Sans MT"/>
          <w:sz w:val="26"/>
          <w:szCs w:val="26"/>
        </w:rPr>
      </w:pPr>
    </w:p>
    <w:p w:rsidR="007E2D99" w:rsidRDefault="007E2D99" w:rsidP="007E2D99">
      <w:pPr>
        <w:spacing w:after="0" w:line="256" w:lineRule="auto"/>
        <w:rPr>
          <w:rFonts w:ascii="Gill Sans MT" w:hAnsi="Gill Sans MT"/>
          <w:sz w:val="26"/>
          <w:szCs w:val="26"/>
        </w:rPr>
      </w:pPr>
      <w:r w:rsidRPr="0024347C">
        <w:rPr>
          <w:rFonts w:ascii="Gill Sans MT" w:hAnsi="Gill Sans MT"/>
          <w:sz w:val="26"/>
          <w:szCs w:val="26"/>
        </w:rPr>
        <w:t xml:space="preserve">Please follow the links to your child’s learning activities for this week.  We are using White Rose for Maths and BBC </w:t>
      </w:r>
      <w:proofErr w:type="spellStart"/>
      <w:r w:rsidRPr="0024347C">
        <w:rPr>
          <w:rFonts w:ascii="Gill Sans MT" w:hAnsi="Gill Sans MT"/>
          <w:sz w:val="26"/>
          <w:szCs w:val="26"/>
        </w:rPr>
        <w:t>Bitesize</w:t>
      </w:r>
      <w:proofErr w:type="spellEnd"/>
      <w:r w:rsidRPr="0024347C">
        <w:rPr>
          <w:rFonts w:ascii="Gill Sans MT" w:hAnsi="Gill Sans MT"/>
          <w:sz w:val="26"/>
          <w:szCs w:val="26"/>
        </w:rPr>
        <w:t xml:space="preserve"> for English and </w:t>
      </w:r>
    </w:p>
    <w:p w:rsidR="007E2D99" w:rsidRPr="007E2D99" w:rsidRDefault="007E2D99" w:rsidP="007E2D99">
      <w:pPr>
        <w:spacing w:after="0" w:line="256" w:lineRule="auto"/>
        <w:rPr>
          <w:rFonts w:ascii="Gill Sans MT" w:hAnsi="Gill Sans MT"/>
          <w:sz w:val="26"/>
          <w:szCs w:val="26"/>
        </w:rPr>
      </w:pPr>
      <w:proofErr w:type="gramStart"/>
      <w:r>
        <w:rPr>
          <w:rFonts w:ascii="Gill Sans MT" w:hAnsi="Gill Sans MT"/>
          <w:sz w:val="26"/>
          <w:szCs w:val="26"/>
        </w:rPr>
        <w:t>most</w:t>
      </w:r>
      <w:proofErr w:type="gramEnd"/>
      <w:r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sz w:val="26"/>
          <w:szCs w:val="26"/>
        </w:rPr>
        <w:t>other</w:t>
      </w:r>
      <w:r w:rsidRPr="0024347C">
        <w:rPr>
          <w:rFonts w:ascii="Gill Sans MT" w:hAnsi="Gill Sans MT"/>
          <w:sz w:val="26"/>
          <w:szCs w:val="26"/>
        </w:rPr>
        <w:t xml:space="preserve"> subjects. </w:t>
      </w:r>
      <w:r>
        <w:rPr>
          <w:rFonts w:ascii="Gill Sans MT" w:hAnsi="Gill Sans MT"/>
          <w:sz w:val="26"/>
          <w:szCs w:val="26"/>
        </w:rPr>
        <w:t xml:space="preserve"> For some subjects y</w:t>
      </w:r>
      <w:r w:rsidRPr="0024347C">
        <w:rPr>
          <w:rFonts w:ascii="Gill Sans MT" w:hAnsi="Gill Sans MT"/>
          <w:sz w:val="26"/>
          <w:szCs w:val="26"/>
        </w:rPr>
        <w:t>our child’s teacher may have included links to different activities</w:t>
      </w:r>
      <w:r>
        <w:rPr>
          <w:rFonts w:ascii="Gill Sans MT" w:hAnsi="Gill Sans MT"/>
          <w:sz w:val="26"/>
          <w:szCs w:val="26"/>
        </w:rPr>
        <w:t xml:space="preserve"> </w:t>
      </w:r>
      <w:r w:rsidRPr="0024347C">
        <w:rPr>
          <w:rFonts w:ascii="Gill Sans MT" w:hAnsi="Gill Sans MT"/>
          <w:sz w:val="26"/>
          <w:szCs w:val="26"/>
        </w:rPr>
        <w:t xml:space="preserve">which will help </w:t>
      </w:r>
      <w:r>
        <w:rPr>
          <w:rFonts w:ascii="Gill Sans MT" w:hAnsi="Gill Sans MT"/>
          <w:sz w:val="26"/>
          <w:szCs w:val="26"/>
        </w:rPr>
        <w:t>to</w:t>
      </w:r>
      <w:r w:rsidRPr="0024347C">
        <w:rPr>
          <w:rFonts w:ascii="Gill Sans MT" w:hAnsi="Gill Sans MT"/>
          <w:sz w:val="26"/>
          <w:szCs w:val="26"/>
        </w:rPr>
        <w:t xml:space="preserve"> cover our curriculum at Mersey Vale.</w:t>
      </w:r>
      <w:r>
        <w:rPr>
          <w:rFonts w:ascii="Gill Sans MT" w:hAnsi="Gill Sans MT"/>
          <w:sz w:val="26"/>
          <w:szCs w:val="26"/>
        </w:rPr>
        <w:t xml:space="preserve"> There are linked daily </w:t>
      </w:r>
      <w:proofErr w:type="spellStart"/>
      <w:r>
        <w:rPr>
          <w:rFonts w:ascii="Gill Sans MT" w:hAnsi="Gill Sans MT"/>
          <w:sz w:val="26"/>
          <w:szCs w:val="26"/>
        </w:rPr>
        <w:t>Bitesize</w:t>
      </w:r>
      <w:proofErr w:type="spellEnd"/>
      <w:r>
        <w:rPr>
          <w:rFonts w:ascii="Gill Sans MT" w:hAnsi="Gill Sans MT"/>
          <w:sz w:val="26"/>
          <w:szCs w:val="26"/>
        </w:rPr>
        <w:t xml:space="preserve"> TV programmes available on the Red Button service and on iPlayer which children could watch too.</w:t>
      </w:r>
      <w:bookmarkStart w:id="0" w:name="_GoBack"/>
      <w:bookmarkEnd w:id="0"/>
    </w:p>
    <w:tbl>
      <w:tblPr>
        <w:tblpPr w:leftFromText="180" w:rightFromText="180" w:horzAnchor="margin" w:tblpY="79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2818"/>
        <w:gridCol w:w="2661"/>
        <w:gridCol w:w="2710"/>
        <w:gridCol w:w="3534"/>
      </w:tblGrid>
      <w:tr w:rsidR="007E2D99" w:rsidRPr="007E2D99" w:rsidTr="007E2D99">
        <w:trPr>
          <w:trHeight w:val="60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>Year 4  Home Learning Grid: Monday 27</w:t>
            </w:r>
            <w:r w:rsidRPr="007E2D99">
              <w:rPr>
                <w:rFonts w:ascii="Calibri" w:eastAsia="Times New Roman" w:hAnsi="Calibri" w:cs="Calibri"/>
                <w:b/>
                <w:bCs/>
                <w:color w:val="085296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 xml:space="preserve"> April-Friday 1</w:t>
            </w:r>
            <w:r w:rsidRPr="007E2D99"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 xml:space="preserve"> </w:t>
            </w:r>
            <w:r w:rsidRPr="007E2D99"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>May </w:t>
            </w:r>
          </w:p>
        </w:tc>
      </w:tr>
      <w:tr w:rsidR="007E2D99" w:rsidRPr="007E2D99" w:rsidTr="007E2D99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Friday</w:t>
            </w:r>
          </w:p>
        </w:tc>
      </w:tr>
      <w:tr w:rsidR="007E2D99" w:rsidRPr="007E2D99" w:rsidTr="007E2D99">
        <w:trPr>
          <w:trHeight w:val="63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 xml:space="preserve">Reading: </w:t>
            </w: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Continue to read a book of your choice every day. If you don’t have anything suitable, then create a free Oxford Owl account </w:t>
            </w:r>
            <w:r w:rsidRPr="007E2D99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u w:val="single"/>
                <w:lang w:eastAsia="en-GB"/>
              </w:rPr>
              <w:t>here</w:t>
            </w: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and choose one of </w:t>
            </w:r>
            <w:r w:rsidRPr="007E2D99">
              <w:rPr>
                <w:rFonts w:ascii="Calibri" w:eastAsia="Times New Roman" w:hAnsi="Calibri" w:cs="Calibri"/>
                <w:b/>
                <w:bCs/>
                <w:color w:val="0563C1"/>
                <w:sz w:val="28"/>
                <w:szCs w:val="28"/>
                <w:u w:val="single"/>
                <w:lang w:eastAsia="en-GB"/>
              </w:rPr>
              <w:t>these books</w:t>
            </w: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to read.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Reading</w:t>
            </w:r>
          </w:p>
          <w:p w:rsidR="007E2D99" w:rsidRPr="007E2D99" w:rsidRDefault="007E2D99" w:rsidP="007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>Read your ‘making a mummy’ instructions to an adult. Can they act them out?</w:t>
            </w:r>
          </w:p>
        </w:tc>
      </w:tr>
      <w:tr w:rsidR="007E2D99" w:rsidRPr="007E2D99" w:rsidTr="007E2D99">
        <w:trPr>
          <w:trHeight w:val="1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Writing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7E2D99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en-GB"/>
                </w:rPr>
                <w:t>Identifying and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7E2D99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en-GB"/>
                </w:rPr>
                <w:t>using prepositions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Writing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Using apostrophes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to combine words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Writing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Using apostrophes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to show possession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Writing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Using inverted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commas to show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speech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Writing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Reading lesson: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The Worst Witch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by  Jill Murphy</w:t>
              </w:r>
            </w:hyperlink>
          </w:p>
        </w:tc>
      </w:tr>
      <w:tr w:rsidR="007E2D99" w:rsidRPr="007E2D99" w:rsidTr="007E2D99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Maths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  <w:t>Lesson 1: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Pr="007E2D99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en-GB"/>
                </w:rPr>
                <w:t>Round Decimals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Maths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  <w:t>Lesson2: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Pr="007E2D99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en-GB"/>
                </w:rPr>
                <w:t>Halves and quarters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Maths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  <w:t>Lesson 3: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history="1">
              <w:r w:rsidRPr="007E2D99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en-GB"/>
                </w:rPr>
                <w:t>Pounds and pence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Maths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  <w:t>Lesson 4: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Pr="007E2D99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en-GB"/>
                </w:rPr>
                <w:t>Ordering money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Maths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  <w:t>Lesson 5: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history="1">
              <w:r w:rsidRPr="007E2D99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en-GB"/>
                </w:rPr>
                <w:t>Friday Maths Challenge</w:t>
              </w:r>
            </w:hyperlink>
          </w:p>
        </w:tc>
      </w:tr>
      <w:tr w:rsidR="007E2D99" w:rsidRPr="007E2D99" w:rsidTr="007E2D99">
        <w:trPr>
          <w:trHeight w:val="20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History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  <w:t>Ancient Egypt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Making a mummy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t>(watch the clips and write and illustrate your own 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E2D99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t>instructions</w:t>
            </w:r>
            <w:proofErr w:type="gramEnd"/>
            <w:r w:rsidRPr="007E2D99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Geography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hyperlink r:id="rId26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Contours, keys and symbols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Science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State of matter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Music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Pr="007E2D99">
              <w:rPr>
                <w:rFonts w:ascii="Calibri" w:eastAsia="Times New Roman" w:hAnsi="Calibri" w:cs="Calibri"/>
                <w:color w:val="0563C1"/>
                <w:sz w:val="28"/>
                <w:szCs w:val="28"/>
                <w:lang w:eastAsia="en-GB"/>
              </w:rPr>
              <w:t>  </w:t>
            </w:r>
            <w:hyperlink r:id="rId28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Rhythm and percussion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en-GB"/>
              </w:rPr>
              <w:t>Religious Studies</w:t>
            </w:r>
          </w:p>
          <w:p w:rsidR="007E2D99" w:rsidRPr="007E2D99" w:rsidRDefault="007E2D99" w:rsidP="007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history="1">
              <w:r w:rsidRPr="007E2D99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en-GB"/>
                </w:rPr>
                <w:t>The Month of Ramadan</w:t>
              </w:r>
            </w:hyperlink>
          </w:p>
          <w:p w:rsidR="007E2D99" w:rsidRPr="007E2D99" w:rsidRDefault="007E2D99" w:rsidP="007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64FD7" w:rsidRDefault="00F64FD7" w:rsidP="007E2D99"/>
    <w:sectPr w:rsidR="00F64FD7" w:rsidSect="007E2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99" w:rsidRDefault="007E2D99" w:rsidP="007E2D99">
      <w:pPr>
        <w:spacing w:after="0" w:line="240" w:lineRule="auto"/>
      </w:pPr>
      <w:r>
        <w:separator/>
      </w:r>
    </w:p>
  </w:endnote>
  <w:endnote w:type="continuationSeparator" w:id="0">
    <w:p w:rsidR="007E2D99" w:rsidRDefault="007E2D99" w:rsidP="007E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99" w:rsidRDefault="007E2D99" w:rsidP="007E2D99">
      <w:pPr>
        <w:spacing w:after="0" w:line="240" w:lineRule="auto"/>
      </w:pPr>
      <w:r>
        <w:separator/>
      </w:r>
    </w:p>
  </w:footnote>
  <w:footnote w:type="continuationSeparator" w:id="0">
    <w:p w:rsidR="007E2D99" w:rsidRDefault="007E2D99" w:rsidP="007E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9"/>
    <w:rsid w:val="007E2D99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D205A-FA0E-4898-88E2-E1EDB4E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99"/>
  </w:style>
  <w:style w:type="paragraph" w:styleId="Footer">
    <w:name w:val="footer"/>
    <w:basedOn w:val="Normal"/>
    <w:link w:val="FooterChar"/>
    <w:uiPriority w:val="99"/>
    <w:unhideWhenUsed/>
    <w:rsid w:val="007E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8nscw" TargetMode="External"/><Relationship Id="rId13" Type="http://schemas.openxmlformats.org/officeDocument/2006/relationships/hyperlink" Target="https://www.bbc.co.uk/bitesize/articles/zh8nscw" TargetMode="External"/><Relationship Id="rId18" Type="http://schemas.openxmlformats.org/officeDocument/2006/relationships/hyperlink" Target="https://www.bbc.co.uk/bitesize/articles/zh8nscw" TargetMode="External"/><Relationship Id="rId26" Type="http://schemas.openxmlformats.org/officeDocument/2006/relationships/hyperlink" Target="https://www.bbc.co.uk/bitesize/tags/z63tt39/year-4-lessons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year-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articles/zh8nscw" TargetMode="External"/><Relationship Id="rId17" Type="http://schemas.openxmlformats.org/officeDocument/2006/relationships/hyperlink" Target="https://www.bbc.co.uk/bitesize/articles/zh8nscw" TargetMode="External"/><Relationship Id="rId25" Type="http://schemas.openxmlformats.org/officeDocument/2006/relationships/hyperlink" Target="https://www.childrensuniversity.manchester.ac.uk/learning-activities/history/ancient-egypt/making-a-mum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h8nscw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https://www.bbc.co.uk/bitesize/tags/z63tt39/year-4-lessons/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h8nscw" TargetMode="External"/><Relationship Id="rId24" Type="http://schemas.openxmlformats.org/officeDocument/2006/relationships/hyperlink" Target="https://whiterosemaths.com/homelearning/year-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h8nscw" TargetMode="External"/><Relationship Id="rId23" Type="http://schemas.openxmlformats.org/officeDocument/2006/relationships/hyperlink" Target="https://whiterosemaths.com/homelearning/year-4/" TargetMode="External"/><Relationship Id="rId28" Type="http://schemas.openxmlformats.org/officeDocument/2006/relationships/hyperlink" Target="https://www.bbc.co.uk/bitesize/tags/z63tt39/year-4-lessons/1" TargetMode="External"/><Relationship Id="rId10" Type="http://schemas.openxmlformats.org/officeDocument/2006/relationships/hyperlink" Target="https://www.bbc.co.uk/bitesize/articles/zh8nscw" TargetMode="External"/><Relationship Id="rId19" Type="http://schemas.openxmlformats.org/officeDocument/2006/relationships/hyperlink" Target="https://www.bbc.co.uk/bitesize/articles/zh8nsc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h8nscw" TargetMode="External"/><Relationship Id="rId14" Type="http://schemas.openxmlformats.org/officeDocument/2006/relationships/hyperlink" Target="https://www.bbc.co.uk/bitesize/articles/zh8nscw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hyperlink" Target="https://www.bbc.co.uk/bitesize/tags/z63tt39/year-4-lessons/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0A7262-62BE-41DE-903C-AB626228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Bradley</dc:creator>
  <cp:keywords/>
  <dc:description/>
  <cp:lastModifiedBy>Mrs Bradley</cp:lastModifiedBy>
  <cp:revision>1</cp:revision>
  <dcterms:created xsi:type="dcterms:W3CDTF">2020-04-26T12:56:00Z</dcterms:created>
  <dcterms:modified xsi:type="dcterms:W3CDTF">2020-04-26T13:02:00Z</dcterms:modified>
</cp:coreProperties>
</file>